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BB0" w:rsidRPr="00C16BB0" w:rsidRDefault="00C16BB0" w:rsidP="00C16BB0">
      <w:pPr>
        <w:shd w:val="clear" w:color="auto" w:fill="FFFFFF"/>
        <w:spacing w:after="300" w:line="240" w:lineRule="auto"/>
        <w:outlineLvl w:val="1"/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</w:pPr>
      <w:r w:rsidRPr="00C16BB0">
        <w:rPr>
          <w:rFonts w:cstheme="minorHAnsi"/>
          <w:sz w:val="20"/>
          <w:szCs w:val="20"/>
        </w:rPr>
        <w:fldChar w:fldCharType="begin"/>
      </w:r>
      <w:r w:rsidRPr="00C16BB0">
        <w:rPr>
          <w:rFonts w:cstheme="minorHAnsi"/>
          <w:sz w:val="20"/>
          <w:szCs w:val="20"/>
        </w:rPr>
        <w:instrText xml:space="preserve"> HYPERLINK "https://www.logical.it/efficienza-energetica-edifici/certificazione-ape-domande-e-risposte/" </w:instrText>
      </w:r>
      <w:r w:rsidRPr="00C16BB0">
        <w:rPr>
          <w:rFonts w:cstheme="minorHAnsi"/>
          <w:sz w:val="20"/>
          <w:szCs w:val="20"/>
        </w:rPr>
        <w:fldChar w:fldCharType="separate"/>
      </w:r>
      <w:r w:rsidRPr="00C16BB0">
        <w:rPr>
          <w:rStyle w:val="Collegamentoipertestuale"/>
          <w:rFonts w:cstheme="minorHAnsi"/>
          <w:sz w:val="20"/>
          <w:szCs w:val="20"/>
        </w:rPr>
        <w:t>Certificazione energetica APE: domande e risposte | LOGICAL SOFT</w:t>
      </w:r>
      <w:r w:rsidRPr="00C16BB0">
        <w:rPr>
          <w:rFonts w:cstheme="minorHAnsi"/>
          <w:sz w:val="20"/>
          <w:szCs w:val="20"/>
        </w:rPr>
        <w:fldChar w:fldCharType="end"/>
      </w:r>
    </w:p>
    <w:p w:rsidR="00C16BB0" w:rsidRPr="00C16BB0" w:rsidRDefault="00C16BB0" w:rsidP="00C16BB0">
      <w:pPr>
        <w:shd w:val="clear" w:color="auto" w:fill="FFFFFF"/>
        <w:spacing w:after="300" w:line="240" w:lineRule="auto"/>
        <w:outlineLvl w:val="1"/>
        <w:rPr>
          <w:rFonts w:eastAsia="Times New Roman" w:cstheme="minorHAnsi"/>
          <w:color w:val="000000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  <w:t>Domande e risposte – Quando è obbligatorio redigere la Certificazione APE?</w:t>
      </w:r>
    </w:p>
    <w:p w:rsidR="00C16BB0" w:rsidRPr="00C16BB0" w:rsidRDefault="00C16BB0" w:rsidP="00C16BB0">
      <w:pPr>
        <w:shd w:val="clear" w:color="auto" w:fill="FFFFFF"/>
        <w:spacing w:after="300" w:line="240" w:lineRule="auto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L’APE deve essere obbligatoriamente allegato ai contratti dove vi è un qualunque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trasferimento di immobili a titolo oneroso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(compravendita/affitto/permuta), secondo quanto previsto dalla </w:t>
      </w:r>
      <w:hyperlink r:id="rId6" w:tgtFrame="_blank" w:history="1">
        <w:r w:rsidRPr="00C16BB0">
          <w:rPr>
            <w:rFonts w:eastAsia="Times New Roman" w:cstheme="minorHAnsi"/>
            <w:color w:val="333333"/>
            <w:sz w:val="20"/>
            <w:szCs w:val="20"/>
            <w:u w:val="single"/>
            <w:lang w:eastAsia="it-IT"/>
          </w:rPr>
          <w:t>Legge 90/2013</w:t>
        </w:r>
      </w:hyperlink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.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br/>
        <w:t>La Certificazione Energetica è obbligatoria anche nel caso di:</w:t>
      </w:r>
    </w:p>
    <w:p w:rsidR="00C16BB0" w:rsidRPr="00C16BB0" w:rsidRDefault="00C16BB0" w:rsidP="00C16BB0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Nuova edificazione 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o </w:t>
      </w:r>
      <w:hyperlink r:id="rId7" w:history="1">
        <w:r w:rsidRPr="00C16BB0">
          <w:rPr>
            <w:rFonts w:eastAsia="Times New Roman" w:cstheme="minorHAnsi"/>
            <w:b/>
            <w:bCs/>
            <w:color w:val="333333"/>
            <w:sz w:val="20"/>
            <w:szCs w:val="20"/>
            <w:u w:val="single"/>
            <w:lang w:eastAsia="it-IT"/>
          </w:rPr>
          <w:t>ristrutturazione importante di I° livello</w:t>
        </w:r>
      </w:hyperlink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(&gt;50% della superficie di involucro e sostituzione dell’impianto)</w:t>
      </w:r>
    </w:p>
    <w:p w:rsidR="00C16BB0" w:rsidRPr="00C16BB0" w:rsidRDefault="00C16BB0" w:rsidP="00C16BB0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Ristrutturazione importante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di II° livello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(&gt;25% della superficie dell’involucro dell’intero edificio con o senza modifiche all’impianto).</w:t>
      </w:r>
    </w:p>
    <w:p w:rsidR="00C16BB0" w:rsidRPr="00C16BB0" w:rsidRDefault="00C16BB0" w:rsidP="00C16BB0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Esecuzione di interventi di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 </w:t>
      </w:r>
      <w:hyperlink r:id="rId8" w:history="1">
        <w:r w:rsidRPr="00C16BB0">
          <w:rPr>
            <w:rFonts w:eastAsia="Times New Roman" w:cstheme="minorHAnsi"/>
            <w:b/>
            <w:bCs/>
            <w:color w:val="333333"/>
            <w:sz w:val="20"/>
            <w:szCs w:val="20"/>
            <w:u w:val="single"/>
            <w:lang w:eastAsia="it-IT"/>
          </w:rPr>
          <w:t>riqualificazione energetica</w:t>
        </w:r>
        <w:r w:rsidRPr="00C16BB0">
          <w:rPr>
            <w:rFonts w:eastAsia="Times New Roman" w:cstheme="minorHAnsi"/>
            <w:color w:val="333333"/>
            <w:sz w:val="20"/>
            <w:szCs w:val="20"/>
            <w:u w:val="single"/>
            <w:lang w:eastAsia="it-IT"/>
          </w:rPr>
          <w:t>.</w:t>
        </w:r>
      </w:hyperlink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Si intende quindi la sostituzione di infissi, l’isolamento termico, la sostituzione o modifica degli impianti di climatizzazione che interessino ≤ 25% della superficie di involucro.</w:t>
      </w:r>
    </w:p>
    <w:p w:rsidR="00C16BB0" w:rsidRPr="00C16BB0" w:rsidRDefault="00C16BB0" w:rsidP="00C16BB0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Edifici pubblici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e aperti al pubblico (ad es. scuole) con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superficie &gt; 250 mq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. Si espone il certificato energetico all’ingresso dell’edificio.</w:t>
      </w:r>
    </w:p>
    <w:p w:rsidR="00C16BB0" w:rsidRPr="00C16BB0" w:rsidRDefault="00C16BB0" w:rsidP="00C16BB0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Stipula di nuovi contratti o rinnovi di contratti di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gestione calore negli edifici pubblici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.</w:t>
      </w:r>
    </w:p>
    <w:p w:rsidR="00C16BB0" w:rsidRPr="00C16BB0" w:rsidRDefault="00C16BB0" w:rsidP="00C16BB0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Pubblicazione/affissione di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annunci immobiliari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(compravendita e locazione).</w:t>
      </w:r>
    </w:p>
    <w:p w:rsidR="00C16BB0" w:rsidRPr="00C16BB0" w:rsidRDefault="00C16BB0" w:rsidP="00C16BB0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Trasferimento di immobili a titolo gratuito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(ad es. donazione).</w:t>
      </w:r>
    </w:p>
    <w:p w:rsidR="00C16BB0" w:rsidRPr="00C16BB0" w:rsidRDefault="00C16BB0" w:rsidP="00C16BB0">
      <w:pPr>
        <w:shd w:val="clear" w:color="auto" w:fill="FFFFFF"/>
        <w:spacing w:after="300" w:line="240" w:lineRule="auto"/>
        <w:outlineLvl w:val="1"/>
        <w:rPr>
          <w:rFonts w:eastAsia="Times New Roman" w:cstheme="minorHAnsi"/>
          <w:color w:val="000000"/>
          <w:sz w:val="20"/>
          <w:szCs w:val="20"/>
          <w:lang w:eastAsia="it-IT"/>
        </w:rPr>
      </w:pPr>
      <w:r w:rsidRPr="00C16BB0">
        <w:rPr>
          <w:rFonts w:eastAsia="Times New Roman" w:cstheme="minorHAnsi"/>
          <w:color w:val="000000"/>
          <w:sz w:val="20"/>
          <w:szCs w:val="20"/>
          <w:lang w:eastAsia="it-IT"/>
        </w:rPr>
        <w:t>Domande e risposte – </w:t>
      </w:r>
      <w:r w:rsidRPr="00C16BB0"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  <w:t>Per quali edifici s</w:t>
      </w:r>
      <w:r w:rsidRPr="00C16BB0">
        <w:rPr>
          <w:rFonts w:eastAsia="Times New Roman" w:cstheme="minorHAnsi"/>
          <w:color w:val="000000"/>
          <w:sz w:val="20"/>
          <w:szCs w:val="20"/>
          <w:lang w:eastAsia="it-IT"/>
        </w:rPr>
        <w:t>i redige</w:t>
      </w:r>
      <w:r w:rsidRPr="00C16BB0"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  <w:t> la Certificazione APE ?</w:t>
      </w:r>
    </w:p>
    <w:p w:rsidR="00C16BB0" w:rsidRPr="00C16BB0" w:rsidRDefault="00C16BB0" w:rsidP="00C16BB0">
      <w:pPr>
        <w:shd w:val="clear" w:color="auto" w:fill="FFFFFF"/>
        <w:spacing w:after="300" w:line="240" w:lineRule="auto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La certificazione energetica è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obbligatoria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nelle categorie di edifici definite dall’Articolo 3 del </w:t>
      </w:r>
      <w:hyperlink r:id="rId9" w:tgtFrame="_blank" w:history="1">
        <w:r w:rsidRPr="00C16BB0">
          <w:rPr>
            <w:rFonts w:eastAsia="Times New Roman" w:cstheme="minorHAnsi"/>
            <w:color w:val="333333"/>
            <w:sz w:val="20"/>
            <w:szCs w:val="20"/>
            <w:u w:val="single"/>
            <w:lang w:eastAsia="it-IT"/>
          </w:rPr>
          <w:t>D.P.R.412/93</w:t>
        </w:r>
      </w:hyperlink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, ossia:</w:t>
      </w:r>
    </w:p>
    <w:p w:rsidR="00C16BB0" w:rsidRPr="00C16BB0" w:rsidRDefault="00C16BB0" w:rsidP="00C16BB0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E.1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– Edifici di tutte le tipologie adibiti a residenza e assimilabili;</w:t>
      </w:r>
    </w:p>
    <w:p w:rsidR="00C16BB0" w:rsidRPr="00C16BB0" w:rsidRDefault="00C16BB0" w:rsidP="00C16BB0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E.2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– Edifici adibiti a residenze collettive, a uffici e assimilabili;</w:t>
      </w:r>
    </w:p>
    <w:p w:rsidR="00C16BB0" w:rsidRPr="00C16BB0" w:rsidRDefault="00C16BB0" w:rsidP="00C16BB0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E.3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– Edifici adibiti a ospedali, cliniche o case di cura e assimilabili;</w:t>
      </w:r>
    </w:p>
    <w:p w:rsidR="00C16BB0" w:rsidRPr="00C16BB0" w:rsidRDefault="00C16BB0" w:rsidP="00C16BB0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E.4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– Edifici adibiti ad attività ricreative, associative o di culto e assimilabili;</w:t>
      </w:r>
    </w:p>
    <w:p w:rsidR="00C16BB0" w:rsidRPr="00C16BB0" w:rsidRDefault="00C16BB0" w:rsidP="00C16BB0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E.5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– Edifici adibiti ad attività commerciali e assimilabili;</w:t>
      </w:r>
    </w:p>
    <w:p w:rsidR="00C16BB0" w:rsidRPr="00C16BB0" w:rsidRDefault="00C16BB0" w:rsidP="00C16BB0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E.6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– Edifici adibiti ad attività sportive;</w:t>
      </w:r>
    </w:p>
    <w:p w:rsidR="00C16BB0" w:rsidRPr="00C16BB0" w:rsidRDefault="00C16BB0" w:rsidP="00C16BB0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E.7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– Edifici adibiti ad attività scolastiche a tutti i livelli e assimilabili;</w:t>
      </w:r>
    </w:p>
    <w:p w:rsidR="00C16BB0" w:rsidRPr="00C16BB0" w:rsidRDefault="00C16BB0" w:rsidP="00C16BB0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E.8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– Edifici adibiti ad attività industriali ed artigianali e assimilabili.</w:t>
      </w:r>
    </w:p>
    <w:p w:rsidR="00C16BB0" w:rsidRPr="00C16BB0" w:rsidRDefault="00C16BB0" w:rsidP="00C16BB0">
      <w:pPr>
        <w:shd w:val="clear" w:color="auto" w:fill="FFFFFF"/>
        <w:spacing w:after="300" w:line="240" w:lineRule="auto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Le suddette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categorie catastali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sono verificabili da una semplice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visura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dell’immobile.</w:t>
      </w:r>
    </w:p>
    <w:p w:rsidR="00C16BB0" w:rsidRPr="00C16BB0" w:rsidRDefault="00C16BB0" w:rsidP="00C16BB0">
      <w:pPr>
        <w:shd w:val="clear" w:color="auto" w:fill="FFFFFF"/>
        <w:spacing w:after="300" w:line="240" w:lineRule="auto"/>
        <w:outlineLvl w:val="1"/>
        <w:rPr>
          <w:rFonts w:eastAsia="Times New Roman" w:cstheme="minorHAnsi"/>
          <w:color w:val="000000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000000"/>
          <w:sz w:val="20"/>
          <w:szCs w:val="20"/>
          <w:lang w:eastAsia="it-IT"/>
        </w:rPr>
        <w:t>Quando la certificazione energetica non è obbligatoria?</w:t>
      </w:r>
    </w:p>
    <w:p w:rsidR="00C16BB0" w:rsidRPr="00C16BB0" w:rsidRDefault="00C16BB0" w:rsidP="00C16BB0">
      <w:pPr>
        <w:shd w:val="clear" w:color="auto" w:fill="FFFFFF"/>
        <w:spacing w:after="300" w:line="240" w:lineRule="auto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L’attestato non deve essere redatto nei casi riportati nell’Art.3, Comma 3 del </w:t>
      </w:r>
      <w:proofErr w:type="spellStart"/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fldChar w:fldCharType="begin"/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instrText xml:space="preserve"> HYPERLINK "https://www.gazzettaufficiale.it/eli/id/2005/09/23/005G0219/sg" \t "_blank" </w:instrTex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fldChar w:fldCharType="separate"/>
      </w:r>
      <w:r w:rsidRPr="00C16BB0">
        <w:rPr>
          <w:rFonts w:eastAsia="Times New Roman" w:cstheme="minorHAnsi"/>
          <w:color w:val="333333"/>
          <w:sz w:val="20"/>
          <w:szCs w:val="20"/>
          <w:u w:val="single"/>
          <w:lang w:eastAsia="it-IT"/>
        </w:rPr>
        <w:t>D.Lgs</w:t>
      </w:r>
      <w:proofErr w:type="spellEnd"/>
      <w:r w:rsidRPr="00C16BB0">
        <w:rPr>
          <w:rFonts w:eastAsia="Times New Roman" w:cstheme="minorHAnsi"/>
          <w:color w:val="333333"/>
          <w:sz w:val="20"/>
          <w:szCs w:val="20"/>
          <w:u w:val="single"/>
          <w:lang w:eastAsia="it-IT"/>
        </w:rPr>
        <w:t xml:space="preserve"> 192/2005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fldChar w:fldCharType="end"/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: </w:t>
      </w:r>
    </w:p>
    <w:p w:rsidR="00C16BB0" w:rsidRPr="00C16BB0" w:rsidRDefault="00C16BB0" w:rsidP="00C16BB0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Fabbricati isolati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 xml:space="preserve"> con una </w:t>
      </w:r>
      <w:proofErr w:type="spellStart"/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s.u</w:t>
      </w:r>
      <w:proofErr w:type="spellEnd"/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. totale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&lt; 50 mq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. (ad es. bungalow di 49 mq in un campeggio).</w:t>
      </w:r>
    </w:p>
    <w:p w:rsidR="00C16BB0" w:rsidRPr="00C16BB0" w:rsidRDefault="00C16BB0" w:rsidP="00C16BB0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Fabbricati industriali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ed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 artigianali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, solo quando gli ambienti sono riscaldati/raffrescati per esigenze del processo produttivo,  quando il loro utilizzo e/o le attività svolte al loro interno non ne prevedano il riscaldamento o la climatizzazione.</w:t>
      </w:r>
    </w:p>
    <w:p w:rsidR="00C16BB0" w:rsidRPr="00C16BB0" w:rsidRDefault="00C16BB0" w:rsidP="00C16BB0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Ambienti riscaldati con i reflui energetici del processo produttivo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, non altrimenti utilizzabili. I reflui energetici sono fluidi di recupero già caldi per esigenze di produzione.</w:t>
      </w:r>
    </w:p>
    <w:p w:rsidR="00C16BB0" w:rsidRPr="00C16BB0" w:rsidRDefault="00C16BB0" w:rsidP="00C16BB0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Fabbricati agricoli o rurali non residenziali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, sprovvisti di impianti di climatizzazione; </w:t>
      </w:r>
    </w:p>
    <w:p w:rsidR="00C16BB0" w:rsidRPr="00C16BB0" w:rsidRDefault="00C16BB0" w:rsidP="00C16BB0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Edifici in cui non è prevista la permanenza di occupanti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ad es. magazzini, depositi, locali di sgombero, sottotetti, locali macchina, etc.</w:t>
      </w:r>
    </w:p>
    <w:p w:rsidR="00C16BB0" w:rsidRPr="00C16BB0" w:rsidRDefault="00C16BB0" w:rsidP="00C16BB0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Edifici adibiti a luoghi di culto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e allo svolgimento di attività religiose (ad es. chiese)</w:t>
      </w:r>
    </w:p>
    <w:p w:rsidR="00C16BB0" w:rsidRPr="00C16BB0" w:rsidRDefault="00C16BB0" w:rsidP="00C16BB0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Ruderi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, ad es. unità collabenti, costruzioni non abitabili o agibili.</w:t>
      </w:r>
    </w:p>
    <w:p w:rsidR="00C16BB0" w:rsidRPr="00C16BB0" w:rsidRDefault="00C16BB0" w:rsidP="00C16BB0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Fabbricati in costruzione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senza abitabilità/agibilità al momento della compravendita. Sono gli immobili che hanno solo uno </w:t>
      </w:r>
      <w:r w:rsidRPr="00C16BB0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scheletro strutturale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o immobili venduti </w:t>
      </w:r>
      <w:r w:rsidRPr="00C16BB0">
        <w:rPr>
          <w:rFonts w:eastAsia="Times New Roman" w:cstheme="minorHAnsi"/>
          <w:i/>
          <w:iCs/>
          <w:color w:val="000000"/>
          <w:sz w:val="20"/>
          <w:szCs w:val="20"/>
          <w:lang w:eastAsia="it-IT"/>
        </w:rPr>
        <w:t>al rustic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o. Anche in questi casi è necessario che l’atto notarile li dichiari tali.</w:t>
      </w:r>
    </w:p>
    <w:p w:rsidR="00C16BB0" w:rsidRPr="00C16BB0" w:rsidRDefault="00C16BB0" w:rsidP="00C16BB0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eastAsia="Times New Roman" w:cstheme="minorHAnsi"/>
          <w:color w:val="212529"/>
          <w:sz w:val="20"/>
          <w:szCs w:val="20"/>
          <w:lang w:eastAsia="it-IT"/>
        </w:rPr>
      </w:pP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Tutti i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manufatti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</w:t>
      </w:r>
      <w:r w:rsidRPr="00C16BB0">
        <w:rPr>
          <w:rFonts w:eastAsia="Times New Roman" w:cstheme="minorHAnsi"/>
          <w:b/>
          <w:bCs/>
          <w:color w:val="212529"/>
          <w:sz w:val="20"/>
          <w:szCs w:val="20"/>
          <w:lang w:eastAsia="it-IT"/>
        </w:rPr>
        <w:t>non riconducibili alla definizione di edificio</w:t>
      </w:r>
      <w:r w:rsidRPr="00C16BB0">
        <w:rPr>
          <w:rFonts w:eastAsia="Times New Roman" w:cstheme="minorHAnsi"/>
          <w:color w:val="212529"/>
          <w:sz w:val="20"/>
          <w:szCs w:val="20"/>
          <w:lang w:eastAsia="it-IT"/>
        </w:rPr>
        <w:t> (ad es. una piscina all’aperto, una serra, etc.).</w:t>
      </w:r>
      <w:bookmarkStart w:id="0" w:name="_GoBack"/>
      <w:bookmarkEnd w:id="0"/>
    </w:p>
    <w:sectPr w:rsidR="00C16BB0" w:rsidRPr="00C16B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36E5"/>
    <w:multiLevelType w:val="multilevel"/>
    <w:tmpl w:val="4782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CD01E4"/>
    <w:multiLevelType w:val="multilevel"/>
    <w:tmpl w:val="6C84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152182"/>
    <w:multiLevelType w:val="multilevel"/>
    <w:tmpl w:val="5CBC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BB0"/>
    <w:rsid w:val="00C16BB0"/>
    <w:rsid w:val="00E1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C16B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C16BB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C16BB0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C16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C16BB0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C16B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C16B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C16BB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C16BB0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C16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C16BB0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C16B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5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.logical.it/efficienza-energetica-degli-edifici/sostenibilita-degli-interventi-di-riqualificazione-come-si-calcol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log.logical.it/efficienza-energetica-degli-edifici/ristrutturazione-rilevante-primo-o-secondo-livell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zzettaufficiale.it/eli/id/2013/08/03/13G00133/s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azzettaufficiale.it/eli/id/1993/10/14/093G0451/sg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Barbara Brendolan</dc:creator>
  <cp:lastModifiedBy>Angela Barbara Brendolan</cp:lastModifiedBy>
  <cp:revision>1</cp:revision>
  <cp:lastPrinted>2025-02-11T12:13:00Z</cp:lastPrinted>
  <dcterms:created xsi:type="dcterms:W3CDTF">2025-02-11T12:07:00Z</dcterms:created>
  <dcterms:modified xsi:type="dcterms:W3CDTF">2025-02-11T12:13:00Z</dcterms:modified>
</cp:coreProperties>
</file>